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70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smallCaps w:val="1"/>
          <w:color w:val="5b7085"/>
        </w:rPr>
      </w:pPr>
      <w:r>
        <w:rPr>
          <w:rtl w:val="0"/>
        </w:rPr>
      </w:r>
    </w:p>
    <w:p w14:paraId="00000008">
      <w:pPr>
        <w:spacing w:after="0" w:before="0" w:line="20" w:lineRule="auto"/>
        <w:rPr>
          <w:rFonts w:ascii="Helvetica Neue" w:cs="Helvetica Neue" w:eastAsia="Helvetica Neue" w:hAnsi="Helvetica Neue"/>
          <w:color w:val="000000"/>
        </w:rPr>
      </w:pPr>
      <w:r>
        <w:rPr>
          <w:rtl w:val="0"/>
        </w:rPr>
      </w:r>
    </w:p>
    <w:p w14:paraId="00000009">
      <w:pPr>
        <w:pStyle w:val="Title"/>
        <w:spacing w:line="240" w:lineRule="auto"/>
        <w:rPr>
          <w:rFonts w:ascii="Helvetica Neue Light" w:cs="Helvetica Neue Light" w:eastAsia="Helvetica Neue Light" w:hAnsi="Helvetica Neue Light"/>
          <w:b w:val="0"/>
          <w:bCs w:val="0"/>
          <w:color w:val="5b7085"/>
          <w:sz w:val="72"/>
          <w:szCs w:val="72"/>
        </w:rPr>
      </w:pPr>
      <w:r>
        <w:rPr>
          <w:rFonts w:ascii="Helvetica Neue Light" w:cs="Helvetica Neue Light" w:eastAsia="Helvetica Neue Light" w:hAnsi="Helvetica Neue Light"/>
          <w:b w:val="0"/>
          <w:bCs w:val="0"/>
          <w:color w:val="5b7085"/>
          <w:sz w:val="72"/>
          <w:szCs w:val="72"/>
          <w:rtl w:val="0"/>
        </w:rPr>
        <w:t xml:space="preserve">WhereTourgo</w:t>
      </w:r>
    </w:p>
    <w:p w14:paraId="0000000A">
      <w:pPr>
        <w:pStyle w:val="Title"/>
        <w:spacing w:line="240" w:lineRule="auto"/>
        <w:rPr>
          <w:rFonts w:ascii="Helvetica Neue" w:cs="Helvetica Neue" w:eastAsia="Helvetica Neue" w:hAnsi="Helvetica Neue"/>
          <w:sz w:val="72"/>
          <w:szCs w:val="72"/>
        </w:rPr>
      </w:pPr>
      <w:r>
        <w:rPr>
          <w:rFonts w:ascii="Helvetica Neue" w:cs="Helvetica Neue" w:eastAsia="Helvetica Neue" w:hAnsi="Helvetica Neue"/>
          <w:sz w:val="72"/>
          <w:szCs w:val="72"/>
          <w:rtl w:val="0"/>
        </w:rPr>
        <w:t xml:space="preserve">Metodología de reconocimiento</w:t>
      </w:r>
    </w:p>
    <w:p w14:paraId="0000000B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C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D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E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0F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13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p w14:paraId="00000014">
      <w:pPr>
        <w:rPr>
          <w:rFonts w:ascii="Helvetica Neue" w:cs="Helvetica Neue" w:eastAsia="Helvetica Neue" w:hAnsi="Helvetica Neue"/>
        </w:rPr>
      </w:pPr>
      <w:r>
        <w:rPr>
          <w:rtl w:val="0"/>
        </w:rPr>
      </w:r>
    </w:p>
    <w:tbl>
      <w:tblPr>
        <w:tblStyle w:val="Table1"/>
        <w:tblW w:w="10400.0" w:type="dxa"/>
        <w:jc w:val="center"/>
        <w:tblLayout w:type="fixed"/>
        <w:tblLook w:val="0600"/>
      </w:tblPr>
      <w:tblGrid>
        <w:gridCol w:w="3200"/>
        <w:gridCol w:w="400"/>
        <w:gridCol w:w="3200"/>
        <w:gridCol w:w="400"/>
        <w:gridCol w:w="3200"/>
        <w:tblGridChange w:id="0">
          <w:tblGrid>
            <w:gridCol w:w="3200"/>
            <w:gridCol w:w="400"/>
            <w:gridCol w:w="3200"/>
            <w:gridCol w:w="400"/>
            <w:gridCol w:w="3200"/>
          </w:tblGrid>
        </w:tblGridChange>
      </w:tblGrid>
      <w:tr>
        <w:trPr>
          <w:cantSplit w:val="0"/>
          <w:tblHeader w:val="0"/>
        </w:trPr>
        <w:tc>
          <w:tcPr/>
          <w:p w14:paraId="00000015">
            <w:pPr>
              <w:pStyle w:val="Heading3"/>
              <w:rPr/>
            </w:pPr>
            <w:r>
              <w:rPr>
                <w:rtl w:val="0"/>
              </w:rPr>
              <w:t xml:space="preserve">ESTADO</w:t>
            </w:r>
          </w:p>
          <w:p w14:paraId="00000016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Propuesta 0.1</w:t>
            </w:r>
          </w:p>
        </w:tc>
        <w:tc>
          <w:tcPr/>
          <w:p w14:paraId="00000017">
            <w:pPr>
              <w:rPr>
                <w:rFonts w:ascii="Helvetica Neue" w:cs="Helvetica Neue" w:eastAsia="Helvetica Neue" w:hAnsi="Helvetica Neue"/>
              </w:rPr>
            </w:pPr>
            <w:r>
              <w:rPr>
                <w:rtl w:val="0"/>
              </w:rPr>
            </w:r>
          </w:p>
        </w:tc>
        <w:tc>
          <w:tcPr/>
          <w:p w14:paraId="00000018">
            <w:pPr>
              <w:pStyle w:val="Heading3"/>
              <w:rPr/>
            </w:pPr>
            <w:r>
              <w:rPr>
                <w:rtl w:val="0"/>
              </w:rPr>
              <w:t xml:space="preserve">TITULAR</w:t>
            </w:r>
          </w:p>
          <w:p w14:paraId="00000019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Allan Castro</w:t>
            </w:r>
          </w:p>
        </w:tc>
        <w:tc>
          <w:tcPr/>
          <w:p w14:paraId="0000001A">
            <w:pPr>
              <w:rPr>
                <w:rFonts w:ascii="Helvetica Neue" w:cs="Helvetica Neue" w:eastAsia="Helvetica Neue" w:hAnsi="Helvetica Neue"/>
              </w:rPr>
            </w:pPr>
            <w:r>
              <w:rPr>
                <w:rtl w:val="0"/>
              </w:rPr>
            </w:r>
          </w:p>
        </w:tc>
        <w:tc>
          <w:tcPr/>
          <w:p w14:paraId="0000001B">
            <w:pPr>
              <w:pStyle w:val="Heading3"/>
              <w:rPr/>
            </w:pPr>
            <w:r>
              <w:rPr>
                <w:rtl w:val="0"/>
              </w:rPr>
              <w:t xml:space="preserve">ACTUALIZACIÓN</w:t>
            </w:r>
          </w:p>
          <w:p w14:paraId="0000001C">
            <w:pPr>
              <w:spacing w:after="110" w:line="300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rtl w:val="0"/>
              </w:rPr>
              <w:t xml:space="preserve">22 septiembre 2026</w:t>
            </w:r>
          </w:p>
        </w:tc>
      </w:tr>
    </w:tbl>
    <w:p w14:paraId="0000001D">
      <w:pPr>
        <w:spacing w:after="110" w:line="300" w:lineRule="auto"/>
        <w:rPr>
          <w:rFonts w:ascii="Helvetica Neue" w:cs="Helvetica Neue" w:eastAsia="Helvetica Neue" w:hAnsi="Helvetica Neue"/>
        </w:rPr>
      </w:pPr>
      <w:r>
        <w:rPr>
          <w:rtl w:val="0"/>
        </w:rPr>
      </w:r>
    </w:p>
    <w:tbl>
      <w:tblPr>
        <w:tblStyle w:val="Table2"/>
        <w:tblW w:w="10155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1815"/>
        <w:gridCol w:w="8340"/>
        <w:tblGridChange w:id="0">
          <w:tblGrid>
            <w:gridCol w:w="1815"/>
            <w:gridCol w:w="8340"/>
          </w:tblGrid>
        </w:tblGridChange>
      </w:tblGrid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1E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Programa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1F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Confianza WTG</w:t>
            </w:r>
          </w:p>
        </w:tc>
      </w:tr>
      <w:tr>
        <w:trPr>
          <w:cantSplit w:val="1"/>
          <w:trHeight w:val="404.3103027343749" w:hRule="atLeast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0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Revisión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1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Operativa y jurídica pendiente</w:t>
            </w:r>
          </w:p>
        </w:tc>
      </w:tr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2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Documentos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3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C01 Reglamento · C02 Verificación · C03 Reconocimiento · C04 Uso</w:t>
            </w:r>
          </w:p>
        </w:tc>
      </w:tr>
      <w:tr>
        <w:trPr>
          <w:cantSplit w:val="1"/>
          <w:tblHeader w:val="0"/>
        </w:trPr>
        <w:tc>
          <w:tcPr>
            <w:shd w:fill="cfe2f3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4">
            <w:pPr>
              <w:spacing w:after="25" w:before="20" w:line="285" w:lineRule="auto"/>
              <w:rPr>
                <w:rFonts w:ascii="Helvetica Neue" w:cs="Helvetica Neue" w:eastAsia="Helvetica Neue" w:hAnsi="Helvetica Neue"/>
                <w:color w:val="000000"/>
              </w:rPr>
            </w:pPr>
            <w:r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rtl w:val="0"/>
              </w:rPr>
              <w:t xml:space="preserve">Alcance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f6f9fc" w:val="clear"/>
            <w:tcMar>
              <w:top w:w="110.0" w:type="dxa"/>
              <w:left w:w="120.0" w:type="dxa"/>
              <w:bottom w:w="110.0" w:type="dxa"/>
              <w:right w:w="120.0" w:type="dxa"/>
            </w:tcMar>
            <w:vAlign w:val="center"/>
          </w:tcPr>
          <w:p w14:paraId="00000025">
            <w:pPr>
              <w:spacing w:after="25" w:before="20" w:line="285" w:lineRule="auto"/>
              <w:rPr>
                <w:rFonts w:ascii="Helvetica Neue" w:cs="Helvetica Neue" w:eastAsia="Helvetica Neue" w:hAnsi="Helvetica Neue"/>
              </w:rPr>
            </w:pPr>
            <w:r>
              <w:rPr>
                <w:rFonts w:ascii="Helvetica Neue" w:cs="Helvetica Neue" w:eastAsia="Helvetica Neue" w:hAnsi="Helvetica Neue"/>
                <w:color w:val="233447"/>
                <w:rtl w:val="0"/>
              </w:rPr>
              <w:t xml:space="preserve">Reseñas verificadas y reglas de WTG Travelers’ Favorite.</w:t>
            </w:r>
          </w:p>
        </w:tc>
      </w:tr>
    </w:tbl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1 Alcance y edición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Travelers’ Favorite reconoce una experiencia, no todos los servicios del operador. Los umbrales de esta versión propuesta 0.1 requieren aprobación y validación con datos reales antes de anunciar una edición. No representan una norma externa ni un ranking nacional.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Se propone una evaluación anual de servicios realizados del 1 de enero al 31 de diciembre, hora de Costa Rica. Se admiten reseñas hasta 30 días naturales después del servicio. Los datos se congelan el 31 de enero siguiente y se publican resultados solo tras revisión humana.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sello lleva el año evaluado y vence el 31 de marzo del segundo año posterior: edición 2027, otorgada en 2028, vence el 31 de marzo de 2029. Siempre depende de mantener Verified Partner vigente. La primera edición no tiene fecha comprometida.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2 Requisitos acumulativos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Verificación. Operador con Verified Partner vigente y alcance aplicable a la experiencia.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Muestra. Al menos 20 reseñas válidas procedentes de 15 grupos independientes de reserva y al menos 20 reservas evaluables.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Valoración. Promedio igual o superior a 4,70 sobre 5, comparado sin redondeo.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Cumplimiento. Al menos 95 % según la fórmula de la sección 4.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Integridad. Sin fraude comprobado ni incumplimientos graves pendientes de resolver. Una denuncia por sí sola no equivale a fraude.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No llegar al mínimo significa Datos insuficientes, no Mala calidad. No se importan puntuaciones externas ni se cuentan pruebas. No hay cupo artificial de ganadores ni preferencia por comisiones o publicidad.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3 Reseñas elegibles y promedio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Puede reseñar una persona adulta participante cuya reserva y asistencia se vinculen a un servicio realizado. Se acepta una reseña activa por participante y experiencia reservada, con máximo de dos por grupo de reserva para esta evaluación. Editar una reseña sustituye su valor anterior, no crea un voto adicional.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Grupo de reserva significa personas que contrataron juntas la misma salida, aunque dividieran el pago. Se consolidan fraccionamientos. No cuentan reseñas de propietarios, empleados, personas con conflicto de interés o remuneradas para opinar.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Promedio = suma de puntuaciones válidas ÷ cantidad de reseñas válidas. Todas tienen el mismo peso. Se compara el resultado completo: 4,69 no cumple aunque la interfaz muestre 4,7. Ejemplo: 94 puntos entre 20 reseñas = 4,70; 93 entre 20 = 4,65.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Se invita de forma neutral a todos los participantes elegibles. No se permite seleccionar satisfechos, comprar opiniones, pedir cinco estrellas o condicionar reembolsos a retirar críticas. La versión inicial no ofrece incentivos por reseñar.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4 Cumplimiento de reservas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Cumplimiento = 100 × reservas cumplidas ÷ reservas evaluables. Una reserva cumplida recibió sustancialmente el servicio confirmado. Cada reserva cuenta una vez y los pagos divididos de un mismo grupo y salida se consolidan. Reembolsar no convierte un servicio fallido en cumplido.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denominador incluye cumplidas y fallas atribuibles al operador, incluida sobreventa o falta de personal. Se excluyen pruebas, fraude comprobado, cancelación previa voluntaria del viajero, inasistencia del viajero y fuerza mayor documentada.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Cada exclusión exige motivo, evidencia y validación independiente. Una exclusión disputada queda pendiente y bloquea el premio si puede cambiar la elegibilidad. El clima se excluye solo si impide operar de forma segura y existe sustento.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Ejemplos de control: 19 de 20 = 95 %; 18 de 20 = 90 %. Denominador cero o menor de 20 impide otorgar el reconocimiento.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pageBreakBefore/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5 Moderación y apelación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Se modera fraude, amenazas, discriminación, datos personales y contenido ajeno al servicio. Una reseña negativa no se elimina por afectar ventas. Si la experiencia se vivió, un reembolso no invalida automáticamente la opinión.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El operador puede responder sin revelar información del viajero. Cuestionar una reseña no basta para bloquearla. Retiradas y ediciones de moderación requieren motivo registrado y apelación conforme a C04; se protege la evidencia mientras exista una finalidad legítima.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6 Revisión y publicación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Se conserva una copia de datos evaluados: experiencia, reservas, reseñas, grupos, suma de puntuaciones, denominador, exclusiones, incidentes, versión y corte. Una persona revisa y otra aprueba. Un cálculo automático no otorga el sello.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La ficha pública muestra experiencia, operador, edición, cantidad de reseñas elegibles, promedio, vigencia y metodología. Se distingue la puntuación actual del resultado histórico. No se publican expedientes ni identidades privadas.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Errores materiales o fraude posterior permiten recalcular, suspender o retirar según C04. El premio no se transfiere a otro tour ni a nuevo titular; un cambio sustancial requiere revisar continuidad y puede exigir un historial nuevo.</w:t>
      </w:r>
    </w:p>
    <w:p w14:paraId="00000026">
      <w:pPr>
        <w:pStyle w:val="Heading1"/>
        <w:pBdr>
          <w:top w:color="2f6b9a" w:space="2" w:sz="0" w:val="none"/>
          <w:left w:color="2f6b9a" w:space="2" w:sz="0" w:val="none"/>
          <w:bottom w:color="2f6b9a" w:space="2" w:sz="0" w:val="none"/>
          <w:right w:color="2f6b9a" w:space="2" w:sz="0" w:val="none"/>
        </w:pBdr>
        <w:spacing w:after="130" w:before="0" w:line="285" w:lineRule="auto"/>
        <w:rPr>
          <w:rFonts w:ascii="Helvetica Neue" w:cs="Helvetica Neue" w:eastAsia="Helvetica Neue" w:hAnsi="Helvetica Neue"/>
          <w:color w:val="000000"/>
        </w:rPr>
        <w:keepNext/>
      </w:pPr>
      <w:r>
        <w:rPr>
          <w:rFonts w:ascii="Helvetica Neue" w:cs="Helvetica Neue" w:eastAsia="Helvetica Neue" w:hAnsi="Helvetica Neue"/>
          <w:color w:val="082a4a"/>
          <w:rtl w:val="0"/>
        </w:rPr>
        <w:t xml:space="preserve">7 Condiciones de activación y acta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Antes de anunciar premios, aprobar umbrales y probar asistencia, duplicados, edición de reseñas, reservas divididas, exclusiones, falta de muestra, pérdida de verificación y apelaciones. No reducir umbrales retroactivamente para garantizar ganadores.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Acta de evaluación: edición ______; versión ______; período y corte ______; experiencia ______; reseñas ______; grupos ______; promedio exacto ______; cumplidas ______; evaluables ______; cumplimiento ______; exclusiones justificadas ______; incidentes y resolución ______; revisor ______; aprobador ______; decisión y fecha ______.</w:t>
      </w:r>
    </w:p>
    <w:p w14:paraId="00000027">
      <w:pPr>
        <w:spacing w:after="110" w:line="300" w:lineRule="auto"/>
        <w:jc w:val="both"/>
        <w:rPr>
          <w:rFonts w:ascii="Helvetica Neue" w:cs="Helvetica Neue" w:eastAsia="Helvetica Neue" w:hAnsi="Helvetica Neue"/>
        </w:rPr>
      </w:pPr>
      <w:r>
        <w:rPr>
          <w:rFonts w:ascii="Helvetica Neue" w:cs="Helvetica Neue" w:eastAsia="Helvetica Neue" w:hAnsi="Helvetica Neue"/>
          <w:color w:val="233447"/>
          <w:rtl w:val="0"/>
        </w:rPr>
        <w:t xml:space="preserve">Estos controles son requisitos de implementación, no una declaración de que ya funcionan en la plataforma.</w:t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5840" w:w="12240" w:orient="portrait"/>
      <w:pgMar w:bottom="893" w:top="1008" w:left="1008" w:right="1008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6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b7085"/>
        <w:sz w:val="20"/>
        <w:szCs w:val="20"/>
        <w:u w:val="none"/>
        <w:shd w:fill="auto" w:val="clear"/>
        <w:vertAlign w:val="baseline"/>
      </w:rPr>
    </w:pPr>
    <w: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b7085"/>
        <w:sz w:val="16"/>
        <w:szCs w:val="16"/>
        <w:u w:val="none"/>
        <w:shd w:fill="auto" w:val="clear"/>
        <w:vertAlign w:val="baseline"/>
        <w:rtl w:val="0"/>
      </w:rPr>
      <w:t xml:space="preserve">WhereTourgo | WTG C03 | Propuesta 0.1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9">
    <w:pPr>
      <w:rPr/>
    </w:pPr>
    <w:r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14:paraId="000000F5">
      <w:pPr>
        <w:spacing w:after="0" w:line="270" w:lineRule="auto"/>
        <w:jc w:val="both"/>
        <w:rPr/>
      </w:pPr>
      <w:r>
        <w:rPr>
          <w:rStyle w:val="FootnoteReference"/>
          <w:vertAlign w:val="superscript"/>
        </w:rPr>
        <w:footnoteRef/>
      </w:r>
      <w:r>
        <w:rPr>
          <w:color w:val="233447"/>
          <w:rtl w:val="0"/>
        </w:rPr>
        <w:t xml:space="preserve"> Use footnotes for definitions, assumptions, or terms that need precision without interrupting the main narrative.</w:t>
      </w:r>
      <w:r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6">
    <w:pPr>
      <w:rPr/>
    </w:pPr>
    <w:r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F8">
    <w:pPr>
      <w:rPr/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33447"/>
        <w:lang w:val="en"/>
      </w:rPr>
    </w:rPrDefault>
    <w:pPrDefault>
      <w:pPr>
        <w:spacing w:after="11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2f6b9a" w:space="2" w:sz="0" w:val="none"/>
        <w:left w:color="2f6b9a" w:space="2" w:sz="0" w:val="none"/>
        <w:bottom w:color="2f6b9a" w:space="2" w:sz="0" w:val="none"/>
        <w:right w:color="2f6b9a" w:space="2" w:sz="0" w:val="none"/>
      </w:pBdr>
      <w:spacing w:after="130" w:line="285" w:lineRule="auto"/>
    </w:pPr>
    <w:rPr>
      <w:b w:val="1"/>
      <w:bCs w:val="1"/>
      <w:color w:val="082a4a"/>
      <w:sz w:val="27"/>
      <w:szCs w:val="27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smallCaps w:val="1"/>
      <w:color w:val="082a4a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Helvetica Neue" w:cs="Helvetica Neue" w:eastAsia="Helvetica Neue" w:hAnsi="Helvetica Neue"/>
      <w:b w:val="1"/>
      <w:bCs w:val="1"/>
      <w:color w:val="5b7085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082a4a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082a4a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082a4a"/>
    </w:rPr>
  </w:style>
  <w:style w:type="paragraph" w:styleId="Title">
    <w:name w:val="Title"/>
    <w:basedOn w:val="Normal"/>
    <w:next w:val="Normal"/>
    <w:pPr>
      <w:spacing w:after="150" w:lineRule="auto"/>
    </w:pPr>
    <w:rPr>
      <w:b w:val="1"/>
      <w:bCs w:val="1"/>
      <w:color w:val="082a4a"/>
      <w:sz w:val="44"/>
      <w:szCs w:val="44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082a4a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example.com/system-design/contracts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8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HelveticaNeueLight-regular.ttf"/><Relationship Id="rId6" Type="http://schemas.openxmlformats.org/officeDocument/2006/relationships/font" Target="fonts/HelveticaNeueLight-bold.ttf"/><Relationship Id="rId7" Type="http://schemas.openxmlformats.org/officeDocument/2006/relationships/font" Target="fonts/HelveticaNeueLight-italic.ttf"/><Relationship Id="rId8" Type="http://schemas.openxmlformats.org/officeDocument/2006/relationships/font" Target="fonts/HelveticaNeue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