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smallCaps w:val="1"/>
          <w:color w:val="5b7085"/>
        </w:rPr>
      </w:pPr>
      <w:r>
        <w:rPr>
          <w:rtl w:val="0"/>
        </w:rPr>
      </w:r>
    </w:p>
    <w:p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smallCaps w:val="1"/>
          <w:color w:val="5b7085"/>
        </w:rPr>
      </w:pPr>
      <w:r>
        <w:rPr>
          <w:rtl w:val="0"/>
        </w:rPr>
      </w:r>
    </w:p>
    <w:p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smallCaps w:val="1"/>
          <w:color w:val="5b7085"/>
        </w:rPr>
      </w:pPr>
      <w:r>
        <w:rPr>
          <w:rtl w:val="0"/>
        </w:rPr>
      </w:r>
    </w:p>
    <w:p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smallCaps w:val="1"/>
          <w:color w:val="5b7085"/>
        </w:rPr>
      </w:pPr>
      <w:r>
        <w:rPr>
          <w:rtl w:val="0"/>
        </w:rPr>
      </w:r>
    </w:p>
    <w:p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smallCaps w:val="1"/>
          <w:color w:val="5b7085"/>
        </w:rPr>
      </w:pPr>
      <w:r>
        <w:rPr>
          <w:rtl w:val="0"/>
        </w:rPr>
      </w:r>
    </w:p>
    <w:p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smallCaps w:val="1"/>
          <w:color w:val="5b7085"/>
        </w:rPr>
      </w:pPr>
      <w:r>
        <w:rPr>
          <w:rtl w:val="0"/>
        </w:rPr>
      </w:r>
    </w:p>
    <w:p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smallCaps w:val="1"/>
          <w:color w:val="5b7085"/>
        </w:rPr>
      </w:pPr>
      <w:r>
        <w:rPr>
          <w:rtl w:val="0"/>
        </w:rPr>
      </w:r>
    </w:p>
    <w:p w14:paraId="00000008">
      <w:pPr>
        <w:spacing w:after="0" w:before="0" w:line="20" w:lineRule="auto"/>
        <w:rPr>
          <w:rFonts w:ascii="Helvetica Neue" w:cs="Helvetica Neue" w:eastAsia="Helvetica Neue" w:hAnsi="Helvetica Neue"/>
          <w:color w:val="000000"/>
        </w:rPr>
      </w:pPr>
      <w:r>
        <w:rPr>
          <w:rtl w:val="0"/>
        </w:rPr>
      </w:r>
    </w:p>
    <w:p w14:paraId="00000009">
      <w:pPr>
        <w:pStyle w:val="Title"/>
        <w:spacing w:line="240" w:lineRule="auto"/>
        <w:rPr>
          <w:rFonts w:ascii="Helvetica Neue Light" w:cs="Helvetica Neue Light" w:eastAsia="Helvetica Neue Light" w:hAnsi="Helvetica Neue Light"/>
          <w:b w:val="0"/>
          <w:bCs w:val="0"/>
          <w:color w:val="5b7085"/>
          <w:sz w:val="72"/>
          <w:szCs w:val="72"/>
        </w:rPr>
      </w:pPr>
      <w:r>
        <w:rPr>
          <w:rFonts w:ascii="Helvetica Neue Light" w:cs="Helvetica Neue Light" w:eastAsia="Helvetica Neue Light" w:hAnsi="Helvetica Neue Light"/>
          <w:b w:val="0"/>
          <w:bCs w:val="0"/>
          <w:color w:val="5b7085"/>
          <w:sz w:val="72"/>
          <w:szCs w:val="72"/>
          <w:rtl w:val="0"/>
        </w:rPr>
        <w:t xml:space="preserve">WhereTourgo</w:t>
      </w:r>
    </w:p>
    <w:p w14:paraId="0000000A">
      <w:pPr>
        <w:pStyle w:val="Title"/>
        <w:spacing w:line="240" w:lineRule="auto"/>
        <w:rPr>
          <w:rFonts w:ascii="Helvetica Neue" w:cs="Helvetica Neue" w:eastAsia="Helvetica Neue" w:hAnsi="Helvetica Neue"/>
          <w:sz w:val="72"/>
          <w:szCs w:val="72"/>
        </w:rPr>
      </w:pPr>
      <w:r>
        <w:rPr>
          <w:rFonts w:ascii="Helvetica Neue" w:cs="Helvetica Neue" w:eastAsia="Helvetica Neue" w:hAnsi="Helvetica Neue"/>
          <w:sz w:val="72"/>
          <w:szCs w:val="72"/>
          <w:rtl w:val="0"/>
        </w:rPr>
        <w:t xml:space="preserve">Criterios de verificación</w:t>
      </w:r>
    </w:p>
    <w:p w14:paraId="0000000B">
      <w:pPr>
        <w:rPr>
          <w:rFonts w:ascii="Helvetica Neue" w:cs="Helvetica Neue" w:eastAsia="Helvetica Neue" w:hAnsi="Helvetica Neue"/>
        </w:rPr>
      </w:pPr>
      <w:r>
        <w:rPr>
          <w:rtl w:val="0"/>
        </w:rPr>
      </w:r>
    </w:p>
    <w:p w14:paraId="0000000C">
      <w:pPr>
        <w:rPr>
          <w:rFonts w:ascii="Helvetica Neue" w:cs="Helvetica Neue" w:eastAsia="Helvetica Neue" w:hAnsi="Helvetica Neue"/>
        </w:rPr>
      </w:pPr>
      <w:r>
        <w:rPr>
          <w:rtl w:val="0"/>
        </w:rPr>
      </w:r>
    </w:p>
    <w:p w14:paraId="0000000D">
      <w:pPr>
        <w:rPr>
          <w:rFonts w:ascii="Helvetica Neue" w:cs="Helvetica Neue" w:eastAsia="Helvetica Neue" w:hAnsi="Helvetica Neue"/>
        </w:rPr>
      </w:pPr>
      <w:r>
        <w:rPr>
          <w:rtl w:val="0"/>
        </w:rPr>
      </w:r>
    </w:p>
    <w:p w14:paraId="0000000E">
      <w:pPr>
        <w:rPr>
          <w:rFonts w:ascii="Helvetica Neue" w:cs="Helvetica Neue" w:eastAsia="Helvetica Neue" w:hAnsi="Helvetica Neue"/>
        </w:rPr>
      </w:pPr>
      <w:r>
        <w:rPr>
          <w:rtl w:val="0"/>
        </w:rPr>
      </w:r>
    </w:p>
    <w:p w14:paraId="0000000F">
      <w:pPr>
        <w:rPr>
          <w:rFonts w:ascii="Helvetica Neue" w:cs="Helvetica Neue" w:eastAsia="Helvetica Neue" w:hAnsi="Helvetica Neue"/>
        </w:rPr>
      </w:pPr>
      <w:r>
        <w:rPr>
          <w:rtl w:val="0"/>
        </w:rPr>
      </w:r>
    </w:p>
    <w:p w14:paraId="00000013">
      <w:pPr>
        <w:rPr>
          <w:rFonts w:ascii="Helvetica Neue" w:cs="Helvetica Neue" w:eastAsia="Helvetica Neue" w:hAnsi="Helvetica Neue"/>
        </w:rPr>
      </w:pPr>
      <w:r>
        <w:rPr>
          <w:rtl w:val="0"/>
        </w:rPr>
      </w:r>
    </w:p>
    <w:p w14:paraId="00000014">
      <w:pPr>
        <w:rPr>
          <w:rFonts w:ascii="Helvetica Neue" w:cs="Helvetica Neue" w:eastAsia="Helvetica Neue" w:hAnsi="Helvetica Neue"/>
        </w:rPr>
      </w:pPr>
      <w:r>
        <w:rPr>
          <w:rtl w:val="0"/>
        </w:rPr>
      </w:r>
    </w:p>
    <w:tbl>
      <w:tblPr>
        <w:tblStyle w:val="Table1"/>
        <w:tblW w:w="10400.0" w:type="dxa"/>
        <w:jc w:val="center"/>
        <w:tblLayout w:type="fixed"/>
        <w:tblLook w:val="0600"/>
      </w:tblPr>
      <w:tblGrid>
        <w:gridCol w:w="3200"/>
        <w:gridCol w:w="400"/>
        <w:gridCol w:w="3200"/>
        <w:gridCol w:w="400"/>
        <w:gridCol w:w="3200"/>
        <w:tblGridChange w:id="0">
          <w:tblGrid>
            <w:gridCol w:w="3200"/>
            <w:gridCol w:w="400"/>
            <w:gridCol w:w="3200"/>
            <w:gridCol w:w="400"/>
            <w:gridCol w:w="3200"/>
          </w:tblGrid>
        </w:tblGridChange>
      </w:tblGrid>
      <w:tr>
        <w:trPr>
          <w:cantSplit w:val="0"/>
          <w:tblHeader w:val="0"/>
        </w:trPr>
        <w:tc>
          <w:tcPr/>
          <w:p w14:paraId="00000015">
            <w:pPr>
              <w:pStyle w:val="Heading3"/>
              <w:rPr/>
            </w:pPr>
            <w:r>
              <w:rPr>
                <w:rtl w:val="0"/>
              </w:rPr>
              <w:t xml:space="preserve">ESTADO</w:t>
            </w:r>
          </w:p>
          <w:p w14:paraId="00000016">
            <w:pPr>
              <w:spacing w:after="110" w:line="300" w:lineRule="auto"/>
              <w:rPr>
                <w:rFonts w:ascii="Helvetica Neue" w:cs="Helvetica Neue" w:eastAsia="Helvetica Neue" w:hAnsi="Helvetica Neue"/>
              </w:rPr>
            </w:pPr>
            <w:r>
              <w:rPr>
                <w:rFonts w:ascii="Helvetica Neue" w:cs="Helvetica Neue" w:eastAsia="Helvetica Neue" w:hAnsi="Helvetica Neue"/>
                <w:color w:val="233447"/>
                <w:rtl w:val="0"/>
              </w:rPr>
              <w:t xml:space="preserve">Propuesta 0.1</w:t>
            </w:r>
          </w:p>
        </w:tc>
        <w:tc>
          <w:tcPr/>
          <w:p w14:paraId="00000017">
            <w:pPr>
              <w:rPr>
                <w:rFonts w:ascii="Helvetica Neue" w:cs="Helvetica Neue" w:eastAsia="Helvetica Neue" w:hAnsi="Helvetica Neue"/>
              </w:rPr>
            </w:pPr>
            <w:r>
              <w:rPr>
                <w:rtl w:val="0"/>
              </w:rPr>
            </w:r>
          </w:p>
        </w:tc>
        <w:tc>
          <w:tcPr/>
          <w:p w14:paraId="00000018">
            <w:pPr>
              <w:pStyle w:val="Heading3"/>
              <w:rPr/>
            </w:pPr>
            <w:r>
              <w:rPr>
                <w:rtl w:val="0"/>
              </w:rPr>
              <w:t xml:space="preserve">TITULAR</w:t>
            </w:r>
          </w:p>
          <w:p w14:paraId="00000019">
            <w:pPr>
              <w:spacing w:after="110" w:line="300" w:lineRule="auto"/>
              <w:rPr>
                <w:rFonts w:ascii="Helvetica Neue" w:cs="Helvetica Neue" w:eastAsia="Helvetica Neue" w:hAnsi="Helvetica Neue"/>
              </w:rPr>
            </w:pPr>
            <w:r>
              <w:rPr>
                <w:rFonts w:ascii="Helvetica Neue" w:cs="Helvetica Neue" w:eastAsia="Helvetica Neue" w:hAnsi="Helvetica Neue"/>
                <w:color w:val="233447"/>
                <w:rtl w:val="0"/>
              </w:rPr>
              <w:t xml:space="preserve">Allan Castro</w:t>
            </w:r>
          </w:p>
        </w:tc>
        <w:tc>
          <w:tcPr/>
          <w:p w14:paraId="0000001A">
            <w:pPr>
              <w:rPr>
                <w:rFonts w:ascii="Helvetica Neue" w:cs="Helvetica Neue" w:eastAsia="Helvetica Neue" w:hAnsi="Helvetica Neue"/>
              </w:rPr>
            </w:pPr>
            <w:r>
              <w:rPr>
                <w:rtl w:val="0"/>
              </w:rPr>
            </w:r>
          </w:p>
        </w:tc>
        <w:tc>
          <w:tcPr/>
          <w:p w14:paraId="0000001B">
            <w:pPr>
              <w:pStyle w:val="Heading3"/>
              <w:rPr/>
            </w:pPr>
            <w:r>
              <w:rPr>
                <w:rtl w:val="0"/>
              </w:rPr>
              <w:t xml:space="preserve">ACTUALIZACIÓN</w:t>
            </w:r>
          </w:p>
          <w:p w14:paraId="0000001C">
            <w:pPr>
              <w:spacing w:after="110" w:line="300" w:lineRule="auto"/>
              <w:rPr>
                <w:rFonts w:ascii="Helvetica Neue" w:cs="Helvetica Neue" w:eastAsia="Helvetica Neue" w:hAnsi="Helvetica Neue"/>
              </w:rPr>
            </w:pPr>
            <w:r>
              <w:rPr>
                <w:rFonts w:ascii="Helvetica Neue" w:cs="Helvetica Neue" w:eastAsia="Helvetica Neue" w:hAnsi="Helvetica Neue"/>
                <w:rtl w:val="0"/>
              </w:rPr>
              <w:t xml:space="preserve">22 septiembre 2026</w:t>
            </w:r>
          </w:p>
        </w:tc>
      </w:tr>
    </w:tbl>
    <w:p w14:paraId="0000001D">
      <w:pPr>
        <w:spacing w:after="110" w:line="300" w:lineRule="auto"/>
        <w:rPr>
          <w:rFonts w:ascii="Helvetica Neue" w:cs="Helvetica Neue" w:eastAsia="Helvetica Neue" w:hAnsi="Helvetica Neue"/>
        </w:rPr>
      </w:pPr>
      <w:r>
        <w:rPr>
          <w:rtl w:val="0"/>
        </w:rPr>
      </w:r>
    </w:p>
    <w:tbl>
      <w:tblPr>
        <w:tblStyle w:val="Table2"/>
        <w:tblW w:w="10155.0" w:type="dxa"/>
        <w:jc w:val="center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1815"/>
        <w:gridCol w:w="8340"/>
        <w:tblGridChange w:id="0">
          <w:tblGrid>
            <w:gridCol w:w="1815"/>
            <w:gridCol w:w="8340"/>
          </w:tblGrid>
        </w:tblGridChange>
      </w:tblGrid>
      <w:tr>
        <w:trPr>
          <w:cantSplit w:val="1"/>
          <w:tblHeader w:val="0"/>
        </w:trPr>
        <w:tc>
          <w:tcPr>
            <w:shd w:fill="cfe2f3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</w:tcPr>
          <w:p w14:paraId="0000001E">
            <w:pPr>
              <w:spacing w:after="25" w:before="20" w:line="285" w:lineRule="auto"/>
              <w:rPr>
                <w:rFonts w:ascii="Helvetica Neue" w:cs="Helvetica Neue" w:eastAsia="Helvetica Neue" w:hAnsi="Helvetica Neue"/>
                <w:color w:val="000000"/>
              </w:rPr>
            </w:pPr>
            <w:r>
              <w:rPr>
                <w:rFonts w:ascii="Helvetica Neue" w:cs="Helvetica Neue" w:eastAsia="Helvetica Neue" w:hAnsi="Helvetica Neue"/>
                <w:b w:val="1"/>
                <w:bCs w:val="1"/>
                <w:color w:val="000000"/>
                <w:rtl w:val="0"/>
              </w:rPr>
              <w:t xml:space="preserve">Programa</w:t>
            </w:r>
          </w:p>
        </w:tc>
        <w:tc>
          <w:tcPr>
            <w:tcBorders>
              <w:top w:color="ffffff" w:space="0" w:sz="8" w:val="single"/>
              <w:bottom w:color="ffffff" w:space="0" w:sz="8" w:val="single"/>
              <w:right w:color="ffffff" w:space="0" w:sz="8" w:val="single"/>
            </w:tcBorders>
            <w:shd w:fill="f6f9fc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</w:tcPr>
          <w:p w14:paraId="0000001F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</w:pPr>
            <w:r>
              <w:rPr>
                <w:rFonts w:ascii="Helvetica Neue" w:cs="Helvetica Neue" w:eastAsia="Helvetica Neue" w:hAnsi="Helvetica Neue"/>
                <w:color w:val="233447"/>
                <w:rtl w:val="0"/>
              </w:rPr>
              <w:t xml:space="preserve">Confianza WTG</w:t>
            </w:r>
          </w:p>
        </w:tc>
      </w:tr>
      <w:tr>
        <w:trPr>
          <w:cantSplit w:val="1"/>
          <w:trHeight w:val="404.3103027343749" w:hRule="atLeast"/>
          <w:tblHeader w:val="0"/>
        </w:trPr>
        <w:tc>
          <w:tcPr>
            <w:shd w:fill="cfe2f3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</w:tcPr>
          <w:p w14:paraId="00000020">
            <w:pPr>
              <w:spacing w:after="25" w:before="20" w:line="285" w:lineRule="auto"/>
              <w:rPr>
                <w:rFonts w:ascii="Helvetica Neue" w:cs="Helvetica Neue" w:eastAsia="Helvetica Neue" w:hAnsi="Helvetica Neue"/>
                <w:color w:val="000000"/>
              </w:rPr>
            </w:pPr>
            <w:r>
              <w:rPr>
                <w:rFonts w:ascii="Helvetica Neue" w:cs="Helvetica Neue" w:eastAsia="Helvetica Neue" w:hAnsi="Helvetica Neue"/>
                <w:b w:val="1"/>
                <w:bCs w:val="1"/>
                <w:color w:val="000000"/>
                <w:rtl w:val="0"/>
              </w:rPr>
              <w:t xml:space="preserve">Revisión</w:t>
            </w:r>
          </w:p>
        </w:tc>
        <w:tc>
          <w:tcPr>
            <w:tcBorders>
              <w:top w:color="ffffff" w:space="0" w:sz="8" w:val="single"/>
              <w:bottom w:color="ffffff" w:space="0" w:sz="8" w:val="single"/>
              <w:right w:color="ffffff" w:space="0" w:sz="8" w:val="single"/>
            </w:tcBorders>
            <w:shd w:fill="f6f9fc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</w:tcPr>
          <w:p w14:paraId="00000021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</w:pPr>
            <w:r>
              <w:rPr>
                <w:rFonts w:ascii="Helvetica Neue" w:cs="Helvetica Neue" w:eastAsia="Helvetica Neue" w:hAnsi="Helvetica Neue"/>
                <w:color w:val="233447"/>
                <w:rtl w:val="0"/>
              </w:rPr>
              <w:t xml:space="preserve">Operativa y jurídica pendiente</w:t>
            </w:r>
          </w:p>
        </w:tc>
      </w:tr>
      <w:tr>
        <w:trPr>
          <w:cantSplit w:val="1"/>
          <w:tblHeader w:val="0"/>
        </w:trPr>
        <w:tc>
          <w:tcPr>
            <w:shd w:fill="cfe2f3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</w:tcPr>
          <w:p w14:paraId="00000022">
            <w:pPr>
              <w:spacing w:after="25" w:before="20" w:line="285" w:lineRule="auto"/>
              <w:rPr>
                <w:rFonts w:ascii="Helvetica Neue" w:cs="Helvetica Neue" w:eastAsia="Helvetica Neue" w:hAnsi="Helvetica Neue"/>
                <w:color w:val="000000"/>
              </w:rPr>
            </w:pPr>
            <w:r>
              <w:rPr>
                <w:rFonts w:ascii="Helvetica Neue" w:cs="Helvetica Neue" w:eastAsia="Helvetica Neue" w:hAnsi="Helvetica Neue"/>
                <w:b w:val="1"/>
                <w:bCs w:val="1"/>
                <w:color w:val="000000"/>
                <w:rtl w:val="0"/>
              </w:rPr>
              <w:t xml:space="preserve">Documentos</w:t>
            </w:r>
          </w:p>
        </w:tc>
        <w:tc>
          <w:tcPr>
            <w:tcBorders>
              <w:top w:color="ffffff" w:space="0" w:sz="8" w:val="single"/>
              <w:bottom w:color="ffffff" w:space="0" w:sz="8" w:val="single"/>
              <w:right w:color="ffffff" w:space="0" w:sz="8" w:val="single"/>
            </w:tcBorders>
            <w:shd w:fill="f6f9fc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</w:tcPr>
          <w:p w14:paraId="00000023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</w:pPr>
            <w:r>
              <w:rPr>
                <w:rFonts w:ascii="Helvetica Neue" w:cs="Helvetica Neue" w:eastAsia="Helvetica Neue" w:hAnsi="Helvetica Neue"/>
                <w:color w:val="233447"/>
                <w:rtl w:val="0"/>
              </w:rPr>
              <w:t xml:space="preserve">C01 Reglamento · C02 Verificación · C03 Reconocimiento · C04 Uso</w:t>
            </w:r>
          </w:p>
        </w:tc>
      </w:tr>
      <w:tr>
        <w:trPr>
          <w:cantSplit w:val="1"/>
          <w:tblHeader w:val="0"/>
        </w:trPr>
        <w:tc>
          <w:tcPr>
            <w:shd w:fill="cfe2f3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</w:tcPr>
          <w:p w14:paraId="00000024">
            <w:pPr>
              <w:spacing w:after="25" w:before="20" w:line="285" w:lineRule="auto"/>
              <w:rPr>
                <w:rFonts w:ascii="Helvetica Neue" w:cs="Helvetica Neue" w:eastAsia="Helvetica Neue" w:hAnsi="Helvetica Neue"/>
                <w:color w:val="000000"/>
              </w:rPr>
            </w:pPr>
            <w:r>
              <w:rPr>
                <w:rFonts w:ascii="Helvetica Neue" w:cs="Helvetica Neue" w:eastAsia="Helvetica Neue" w:hAnsi="Helvetica Neue"/>
                <w:b w:val="1"/>
                <w:bCs w:val="1"/>
                <w:color w:val="000000"/>
                <w:rtl w:val="0"/>
              </w:rPr>
              <w:t xml:space="preserve">Alcance</w:t>
            </w:r>
          </w:p>
        </w:tc>
        <w:tc>
          <w:tcPr>
            <w:tcBorders>
              <w:top w:color="ffffff" w:space="0" w:sz="8" w:val="single"/>
              <w:bottom w:color="ffffff" w:space="0" w:sz="8" w:val="single"/>
              <w:right w:color="ffffff" w:space="0" w:sz="8" w:val="single"/>
            </w:tcBorders>
            <w:shd w:fill="f6f9fc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</w:tcPr>
          <w:p w14:paraId="00000025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</w:pPr>
            <w:r>
              <w:rPr>
                <w:rFonts w:ascii="Helvetica Neue" w:cs="Helvetica Neue" w:eastAsia="Helvetica Neue" w:hAnsi="Helvetica Neue"/>
                <w:color w:val="233447"/>
                <w:rtl w:val="0"/>
              </w:rPr>
              <w:t xml:space="preserve">Evidencias y renovación de WTG Verified Partner.</w:t>
            </w:r>
          </w:p>
        </w:tc>
      </w:tr>
    </w:tbl>
    <w:p w14:paraId="00000026">
      <w:pPr>
        <w:pStyle w:val="Heading1"/>
        <w:pBdr>
          <w:top w:color="2f6b9a" w:space="2" w:sz="0" w:val="none"/>
          <w:left w:color="2f6b9a" w:space="2" w:sz="0" w:val="none"/>
          <w:bottom w:color="2f6b9a" w:space="2" w:sz="0" w:val="none"/>
          <w:right w:color="2f6b9a" w:space="2" w:sz="0" w:val="none"/>
        </w:pBdr>
        <w:spacing w:after="130" w:before="0" w:line="285" w:lineRule="auto"/>
        <w:rPr>
          <w:rFonts w:ascii="Helvetica Neue" w:cs="Helvetica Neue" w:eastAsia="Helvetica Neue" w:hAnsi="Helvetica Neue"/>
          <w:color w:val="000000"/>
        </w:rPr>
        <w:pageBreakBefore/>
        <w:keepNext/>
      </w:pPr>
      <w:r>
        <w:rPr>
          <w:rFonts w:ascii="Helvetica Neue" w:cs="Helvetica Neue" w:eastAsia="Helvetica Neue" w:hAnsi="Helvetica Neue"/>
          <w:color w:val="082a4a"/>
          <w:rtl w:val="0"/>
        </w:rPr>
        <w:t xml:space="preserve">1 Objeto de la revisión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Verified Partner identifica a un operador que supera esta revisión para las sedes y actividades indicadas. La revisión inicial será documental y de contactos. Si existe una visita o evaluación especializada, se registrarán fecha, responsable y alcance. No se anunciarán inspecciones no realizadas.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Versión propuesta 0.1, sujeta a aprobación conforme a C01. El expediente corresponde al negocio solicitante; no permite verificar automáticamente a sus subcontratistas.</w:t>
      </w:r>
    </w:p>
    <w:p w14:paraId="00000026">
      <w:pPr>
        <w:pStyle w:val="Heading1"/>
        <w:pBdr>
          <w:top w:color="2f6b9a" w:space="2" w:sz="0" w:val="none"/>
          <w:left w:color="2f6b9a" w:space="2" w:sz="0" w:val="none"/>
          <w:bottom w:color="2f6b9a" w:space="2" w:sz="0" w:val="none"/>
          <w:right w:color="2f6b9a" w:space="2" w:sz="0" w:val="none"/>
        </w:pBdr>
        <w:spacing w:after="130" w:before="0" w:line="285" w:lineRule="auto"/>
        <w:rPr>
          <w:rFonts w:ascii="Helvetica Neue" w:cs="Helvetica Neue" w:eastAsia="Helvetica Neue" w:hAnsi="Helvetica Neue"/>
          <w:color w:val="000000"/>
        </w:rPr>
        <w:keepNext/>
      </w:pPr>
      <w:r>
        <w:rPr>
          <w:rFonts w:ascii="Helvetica Neue" w:cs="Helvetica Neue" w:eastAsia="Helvetica Neue" w:hAnsi="Helvetica Neue"/>
          <w:color w:val="082a4a"/>
          <w:rtl w:val="0"/>
        </w:rPr>
        <w:t xml:space="preserve">2 Lista de criterios obligatorios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Identidad y representación. Nombre legal y comercial, prueba de existencia o identidad y facultades del representante. Deben coincidir con la solicitud y el acuerdo.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Ubicación y contactos. Dirección operativa, responsable de reservas y contacto de emergencias comprobados mediante comunicación y evidencia de ubicación.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Habilitación. Permisos y documentos aplicables a cada actividad y lugar, con titularidad y vigencia verificadas frente al emisor o fuente competente.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Seguros y personal. Coberturas y acreditaciones aplicables, con revisión de actividad cubierta, exclusiones, límites y competencias por una persona idónea. Recibir una póliza no demuestra por sí solo cobertura suficiente.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Información del tour. Precio total, moneda, cargos, inclusiones, duración, horarios, capacidad, punto de encuentro, idiomas, restricciones y cancelaciones coherentes con el servicio.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Atención y emergencias. Procedimiento de incidentes, atención de quejas y responsables disponibles durante la operación. No basta un correo sin responsable.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Contenido y acuerdos. Derechos de fotos y textos documentados; aceptación de acuerdos aplicables y prácticas comerciales veraces.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Cada criterio se registra como Cumple, No cumple, Pendiente o No aplica. No aplica requiere fundamento y aprobación. No se concede el sello con requisitos aplicables pendientes ni se compensan fallas críticas con un puntaje.</w:t>
      </w:r>
    </w:p>
    <w:p w14:paraId="00000026">
      <w:pPr>
        <w:pStyle w:val="Heading1"/>
        <w:pBdr>
          <w:top w:color="2f6b9a" w:space="2" w:sz="0" w:val="none"/>
          <w:left w:color="2f6b9a" w:space="2" w:sz="0" w:val="none"/>
          <w:bottom w:color="2f6b9a" w:space="2" w:sz="0" w:val="none"/>
          <w:right w:color="2f6b9a" w:space="2" w:sz="0" w:val="none"/>
        </w:pBdr>
        <w:spacing w:after="130" w:before="0" w:line="285" w:lineRule="auto"/>
        <w:rPr>
          <w:rFonts w:ascii="Helvetica Neue" w:cs="Helvetica Neue" w:eastAsia="Helvetica Neue" w:hAnsi="Helvetica Neue"/>
          <w:color w:val="000000"/>
        </w:rPr>
        <w:pageBreakBefore/>
        <w:keepNext/>
      </w:pPr>
      <w:r>
        <w:rPr>
          <w:rFonts w:ascii="Helvetica Neue" w:cs="Helvetica Neue" w:eastAsia="Helvetica Neue" w:hAnsi="Helvetica Neue"/>
          <w:color w:val="082a4a"/>
          <w:rtl w:val="0"/>
        </w:rPr>
        <w:t xml:space="preserve">3 Aplicabilidad por actividad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Antes de evaluar, Operaciones registra requisito concreto, fuente, entidad emisora, evidencia aceptable y vencimiento. Debe distinguir una exigencia legal de un estándar contractual de WTG. Si se desconoce la aplicabilidad, se marca Pendiente y se consulta; no se inventa un permiso universal.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Naturaleza y caminatas. Revisar acceso al sitio, condiciones de ruta, restricciones, protocolo meteorológico y competencias del guía según el servicio.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Aventura, agua y transporte. Verificar requisitos específicos de transporte, embarcaciones, equipos, mantenimiento, rescate, personal y seguros aplicables. La suficiencia técnica requiere revisión especializada cuando corresponda.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Gastronomía, fincas y talleres. Revisar autorizaciones sanitarias aplicables, manejo de alimentos, alergias y acceso al establecimiento. No prometer ausencia absoluta de alérgenos sin sustento.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Wellness y yoga. Identificar instructor, actividad, restricciones y atención de incidentes. No presentar una experiencia recreativa como tratamiento médico ni aceptar afirmaciones terapéuticas sin respaldo.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Declaratoria Turística y CST. Registrar y comprobar cuando el operador afirme poseerlas. No exigir automáticamente certificaciones voluntarias a todos los aliados ni confundirlas con el sello WTG. Fuente: https://www.ict.go.cr/es/servicios-institucionales/declaratoria-turistica</w:t>
      </w:r>
    </w:p>
    <w:p w14:paraId="00000026">
      <w:pPr>
        <w:pStyle w:val="Heading1"/>
        <w:pBdr>
          <w:top w:color="2f6b9a" w:space="2" w:sz="0" w:val="none"/>
          <w:left w:color="2f6b9a" w:space="2" w:sz="0" w:val="none"/>
          <w:bottom w:color="2f6b9a" w:space="2" w:sz="0" w:val="none"/>
          <w:right w:color="2f6b9a" w:space="2" w:sz="0" w:val="none"/>
        </w:pBdr>
        <w:spacing w:after="130" w:before="0" w:line="285" w:lineRule="auto"/>
        <w:rPr>
          <w:rFonts w:ascii="Helvetica Neue" w:cs="Helvetica Neue" w:eastAsia="Helvetica Neue" w:hAnsi="Helvetica Neue"/>
          <w:color w:val="000000"/>
        </w:rPr>
        <w:keepNext/>
      </w:pPr>
      <w:r>
        <w:rPr>
          <w:rFonts w:ascii="Helvetica Neue" w:cs="Helvetica Neue" w:eastAsia="Helvetica Neue" w:hAnsi="Helvetica Neue"/>
          <w:color w:val="082a4a"/>
          <w:rtl w:val="0"/>
        </w:rPr>
        <w:t xml:space="preserve">4 Transparencia para el viajero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Las limitaciones de participación y accesibilidad deben describirse de manera concreta antes de reservar. La información ambiental debe referirse a prácticas comprobables; el sello no autoriza a declararse certificado sostenible.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Cuando intervengan terceros, identificar quién presta cada componente y qué evidencia respalda su participación. La verificación del aliado no sustituye permisos ni controles que correspondan al tercero.</w:t>
      </w:r>
    </w:p>
    <w:p w14:paraId="00000026">
      <w:pPr>
        <w:pStyle w:val="Heading1"/>
        <w:pBdr>
          <w:top w:color="2f6b9a" w:space="2" w:sz="0" w:val="none"/>
          <w:left w:color="2f6b9a" w:space="2" w:sz="0" w:val="none"/>
          <w:bottom w:color="2f6b9a" w:space="2" w:sz="0" w:val="none"/>
          <w:right w:color="2f6b9a" w:space="2" w:sz="0" w:val="none"/>
        </w:pBdr>
        <w:spacing w:after="130" w:before="0" w:line="285" w:lineRule="auto"/>
        <w:rPr>
          <w:rFonts w:ascii="Helvetica Neue" w:cs="Helvetica Neue" w:eastAsia="Helvetica Neue" w:hAnsi="Helvetica Neue"/>
          <w:color w:val="000000"/>
        </w:rPr>
        <w:pageBreakBefore/>
        <w:keepNext/>
      </w:pPr>
      <w:r>
        <w:rPr>
          <w:rFonts w:ascii="Helvetica Neue" w:cs="Helvetica Neue" w:eastAsia="Helvetica Neue" w:hAnsi="Helvetica Neue"/>
          <w:color w:val="082a4a"/>
          <w:rtl w:val="0"/>
        </w:rPr>
        <w:t xml:space="preserve">5 Procedimiento y renovación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El revisor registra fuente, fecha y método de comprobación. Si faltan datos, solicita una lista específica, explicando el motivo y facilitando un canal seguro. Plazo propuesto: 15 días hábiles para responder, prorrogable con fundamento; tras 30 días hábiles sin respuesta puede archivarse con aviso y posibilidad de retomar.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Un aprobador distinto valida la decisión y el alcance. Antes de activar el sello debe constar aceptación de C04. Un rechazo explica incumplimientos y cómo corregir o apelar. Objetivo interno: resolver dentro de 10 días hábiles desde que el expediente esté completo, sin aprobación por silencio.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La vigencia máxima será de 12 meses desde aprobación, o hasta el primer vencimiento de un documento crítico, lo que ocurra antes. Solicitar renovación 30 días naturales antes cuando sea posible. No existe prórroga automática.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Cambios de titular, sede o actividad requieren revisión antes de extender el alcance. Incidentes y suspensiones se tramitan conforme a C04. La pérdida del sello no extingue las obligaciones con viajeros.</w:t>
      </w:r>
    </w:p>
    <w:p w14:paraId="00000026">
      <w:pPr>
        <w:pStyle w:val="Heading1"/>
        <w:pBdr>
          <w:top w:color="2f6b9a" w:space="2" w:sz="0" w:val="none"/>
          <w:left w:color="2f6b9a" w:space="2" w:sz="0" w:val="none"/>
          <w:bottom w:color="2f6b9a" w:space="2" w:sz="0" w:val="none"/>
          <w:right w:color="2f6b9a" w:space="2" w:sz="0" w:val="none"/>
        </w:pBdr>
        <w:spacing w:after="130" w:before="0" w:line="285" w:lineRule="auto"/>
        <w:rPr>
          <w:rFonts w:ascii="Helvetica Neue" w:cs="Helvetica Neue" w:eastAsia="Helvetica Neue" w:hAnsi="Helvetica Neue"/>
          <w:color w:val="000000"/>
        </w:rPr>
        <w:keepNext/>
      </w:pPr>
      <w:r>
        <w:rPr>
          <w:rFonts w:ascii="Helvetica Neue" w:cs="Helvetica Neue" w:eastAsia="Helvetica Neue" w:hAnsi="Helvetica Neue"/>
          <w:color w:val="082a4a"/>
          <w:rtl w:val="0"/>
        </w:rPr>
        <w:t xml:space="preserve">6 Formulario de evaluación reutilizable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Expediente e identificador ____________________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Nombre legal y comercial ____________________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Sedes y actividades incluidas y excluidas ____________________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Por cada criterio: código ______; requisito y fuente ______; evidencia ______; emisor ______; fecha de comprobación ______; vencimiento ______; resultado ______; motivo de No aplica ______; responsable ______.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Decisión: aprobar / solicitar correcciones / rechazar.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Fundamento y acciones requeridas ____________________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Revisor y fecha ____________________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Aprobador y declaración de conflictos ____________________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Inicio y vencimiento ____________________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Versión y constancia de aceptación de C04 ____________________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La evidencia queda en expediente privado. El registro público contiene alcance, estado y fechas, no documentos personales. La ficha no constituye una aprobación hasta que se complete y firme el procedimiento.</w:t>
      </w:r>
    </w:p>
    <w:sectPr>
      <w:headerReference r:id="rId10" w:type="default"/>
      <w:headerReference r:id="rId11" w:type="first"/>
      <w:footerReference r:id="rId12" w:type="default"/>
      <w:footerReference r:id="rId13" w:type="first"/>
      <w:pgSz w:h="15840" w:w="12240" w:orient="portrait"/>
      <w:pgMar w:bottom="893" w:top="1008" w:left="1008" w:right="1008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Helvetica Neue Ligh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14:paraId="000000F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6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5b7085"/>
        <w:sz w:val="20"/>
        <w:szCs w:val="20"/>
        <w:u w:val="none"/>
        <w:shd w:fill="auto" w:val="clear"/>
        <w:vertAlign w:val="baseline"/>
      </w:rPr>
    </w:pPr>
    <w: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5b7085"/>
        <w:sz w:val="16"/>
        <w:szCs w:val="16"/>
        <w:u w:val="none"/>
        <w:shd w:fill="auto" w:val="clear"/>
        <w:vertAlign w:val="baseline"/>
        <w:rtl w:val="0"/>
      </w:rPr>
      <w:t xml:space="preserve">WhereTourgo | WTG C02 | Propuesta 0.1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14:paraId="000000F9">
    <w:pPr>
      <w:rPr/>
    </w:pPr>
    <w:r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14:paraId="000000F5">
      <w:pPr>
        <w:spacing w:after="0" w:line="270" w:lineRule="auto"/>
        <w:jc w:val="both"/>
        <w:rPr/>
      </w:pPr>
      <w:r>
        <w:rPr>
          <w:rStyle w:val="FootnoteReference"/>
          <w:vertAlign w:val="superscript"/>
        </w:rPr>
        <w:footnoteRef/>
      </w:r>
      <w:r>
        <w:rPr>
          <w:color w:val="233447"/>
          <w:rtl w:val="0"/>
        </w:rPr>
        <w:t xml:space="preserve"> Use footnotes for definitions, assumptions, or terms that need precision without interrupting the main narrative.</w:t>
      </w:r>
      <w:r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14:paraId="000000F6">
    <w:pPr>
      <w:rPr/>
    </w:pPr>
    <w:r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14:paraId="000000F8">
    <w:pPr>
      <w:rPr/>
    </w:pPr>
    <w:r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lowerLetter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)"/>
      <w:lvlJc w:val="left"/>
      <w:pPr>
        <w:ind w:left="720" w:hanging="360"/>
      </w:pPr>
      <w:rPr/>
    </w:lvl>
    <w:lvl w:ilvl="2">
      <w:start w:val="1"/>
      <w:numFmt w:val="lowerRoman"/>
      <w:lvlText w:val="%3)"/>
      <w:lvlJc w:val="left"/>
      <w:pPr>
        <w:ind w:left="1080" w:hanging="360"/>
      </w:pPr>
      <w:rPr/>
    </w:lvl>
    <w:lvl w:ilvl="3">
      <w:start w:val="1"/>
      <w:numFmt w:val="decimal"/>
      <w:lvlText w:val="(%4)"/>
      <w:lvlJc w:val="left"/>
      <w:pPr>
        <w:ind w:left="1440" w:hanging="360"/>
      </w:pPr>
      <w:rPr/>
    </w:lvl>
    <w:lvl w:ilvl="4">
      <w:start w:val="1"/>
      <w:numFmt w:val="lowerLetter"/>
      <w:lvlText w:val="(%5)"/>
      <w:lvlJc w:val="left"/>
      <w:pPr>
        <w:ind w:left="1800" w:hanging="360"/>
      </w:pPr>
      <w:rPr/>
    </w:lvl>
    <w:lvl w:ilvl="5">
      <w:start w:val="1"/>
      <w:numFmt w:val="lowerRoman"/>
      <w:lvlText w:val="(%6)"/>
      <w:lvlJc w:val="left"/>
      <w:pPr>
        <w:ind w:left="2160" w:hanging="360"/>
      </w:pPr>
      <w:rPr/>
    </w:lvl>
    <w:lvl w:ilvl="6">
      <w:start w:val="1"/>
      <w:numFmt w:val="decimal"/>
      <w:lvlText w:val="%7."/>
      <w:lvlJc w:val="left"/>
      <w:pPr>
        <w:ind w:left="2520" w:hanging="360"/>
      </w:pPr>
      <w:rPr/>
    </w:lvl>
    <w:lvl w:ilvl="7">
      <w:start w:val="1"/>
      <w:numFmt w:val="lowerLetter"/>
      <w:lvlText w:val="%8."/>
      <w:lvlJc w:val="left"/>
      <w:pPr>
        <w:ind w:left="2880" w:hanging="360"/>
      </w:pPr>
      <w:rPr/>
    </w:lvl>
    <w:lvl w:ilvl="8">
      <w:start w:val="1"/>
      <w:numFmt w:val="lowerRoman"/>
      <w:lvlText w:val="%9."/>
      <w:lvlJc w:val="left"/>
      <w:pPr>
        <w:ind w:left="3240" w:hanging="360"/>
      </w:pPr>
      <w:rPr/>
    </w:lvl>
  </w:abstractNum>
  <w:abstractNum w:abstractNumId="3">
    <w:lvl w:ilvl="0">
      <w:start w:val="1"/>
      <w:numFmt w:val="lowerLetter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)"/>
      <w:lvlJc w:val="left"/>
      <w:pPr>
        <w:ind w:left="720" w:hanging="360"/>
      </w:pPr>
      <w:rPr/>
    </w:lvl>
    <w:lvl w:ilvl="2">
      <w:start w:val="1"/>
      <w:numFmt w:val="lowerRoman"/>
      <w:lvlText w:val="%3)"/>
      <w:lvlJc w:val="left"/>
      <w:pPr>
        <w:ind w:left="1080" w:hanging="360"/>
      </w:pPr>
      <w:rPr/>
    </w:lvl>
    <w:lvl w:ilvl="3">
      <w:start w:val="1"/>
      <w:numFmt w:val="decimal"/>
      <w:lvlText w:val="(%4)"/>
      <w:lvlJc w:val="left"/>
      <w:pPr>
        <w:ind w:left="1440" w:hanging="360"/>
      </w:pPr>
      <w:rPr/>
    </w:lvl>
    <w:lvl w:ilvl="4">
      <w:start w:val="1"/>
      <w:numFmt w:val="lowerLetter"/>
      <w:lvlText w:val="(%5)"/>
      <w:lvlJc w:val="left"/>
      <w:pPr>
        <w:ind w:left="1800" w:hanging="360"/>
      </w:pPr>
      <w:rPr/>
    </w:lvl>
    <w:lvl w:ilvl="5">
      <w:start w:val="1"/>
      <w:numFmt w:val="lowerRoman"/>
      <w:lvlText w:val="(%6)"/>
      <w:lvlJc w:val="left"/>
      <w:pPr>
        <w:ind w:left="2160" w:hanging="360"/>
      </w:pPr>
      <w:rPr/>
    </w:lvl>
    <w:lvl w:ilvl="6">
      <w:start w:val="1"/>
      <w:numFmt w:val="decimal"/>
      <w:lvlText w:val="%7."/>
      <w:lvlJc w:val="left"/>
      <w:pPr>
        <w:ind w:left="2520" w:hanging="360"/>
      </w:pPr>
      <w:rPr/>
    </w:lvl>
    <w:lvl w:ilvl="7">
      <w:start w:val="1"/>
      <w:numFmt w:val="lowerLetter"/>
      <w:lvlText w:val="%8."/>
      <w:lvlJc w:val="left"/>
      <w:pPr>
        <w:ind w:left="2880" w:hanging="360"/>
      </w:pPr>
      <w:rPr/>
    </w:lvl>
    <w:lvl w:ilvl="8">
      <w:start w:val="1"/>
      <w:numFmt w:val="lowerRoman"/>
      <w:lvlText w:val="%9."/>
      <w:lvlJc w:val="left"/>
      <w:pPr>
        <w:ind w:left="3240" w:hanging="360"/>
      </w:pPr>
      <w:rPr/>
    </w:lvl>
  </w:abstractNum>
  <w:abstractNum w:abstractNumId="4">
    <w:lvl w:ilvl="0">
      <w:start w:val="1"/>
      <w:numFmt w:val="lowerLetter"/>
      <w:lvlText w:val="%1."/>
      <w:lvlJc w:val="left"/>
      <w:pPr>
        <w:ind w:left="36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233447"/>
        <w:lang w:val="en"/>
      </w:rPr>
    </w:rPrDefault>
    <w:pPrDefault>
      <w:pPr>
        <w:spacing w:after="11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top w:color="2f6b9a" w:space="2" w:sz="0" w:val="none"/>
        <w:left w:color="2f6b9a" w:space="2" w:sz="0" w:val="none"/>
        <w:bottom w:color="2f6b9a" w:space="2" w:sz="0" w:val="none"/>
        <w:right w:color="2f6b9a" w:space="2" w:sz="0" w:val="none"/>
      </w:pBdr>
      <w:spacing w:after="130" w:line="285" w:lineRule="auto"/>
    </w:pPr>
    <w:rPr>
      <w:b w:val="1"/>
      <w:bCs w:val="1"/>
      <w:color w:val="082a4a"/>
      <w:sz w:val="27"/>
      <w:szCs w:val="27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smallCaps w:val="1"/>
      <w:color w:val="082a4a"/>
      <w:sz w:val="19"/>
      <w:szCs w:val="19"/>
    </w:rPr>
  </w:style>
  <w:style w:type="paragraph" w:styleId="Heading3">
    <w:name w:val="heading 3"/>
    <w:basedOn w:val="Normal"/>
    <w:next w:val="Normal"/>
    <w:pPr>
      <w:keepNext w:val="1"/>
      <w:keepLines w:val="1"/>
    </w:pPr>
    <w:rPr>
      <w:rFonts w:ascii="Helvetica Neue" w:cs="Helvetica Neue" w:eastAsia="Helvetica Neue" w:hAnsi="Helvetica Neue"/>
      <w:b w:val="1"/>
      <w:bCs w:val="1"/>
      <w:color w:val="5b7085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082a4a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082a4a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082a4a"/>
    </w:rPr>
  </w:style>
  <w:style w:type="paragraph" w:styleId="Title">
    <w:name w:val="Title"/>
    <w:basedOn w:val="Normal"/>
    <w:next w:val="Normal"/>
    <w:pPr>
      <w:spacing w:after="150" w:lineRule="auto"/>
    </w:pPr>
    <w:rPr>
      <w:b w:val="1"/>
      <w:bCs w:val="1"/>
      <w:color w:val="082a4a"/>
      <w:sz w:val="44"/>
      <w:szCs w:val="44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082a4a"/>
      <w:sz w:val="24"/>
      <w:szCs w:val="24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'1.0' encoding='UTF-8' standalone='yes'?>
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header" Target="header1.xml"/><Relationship Id="rId13" Type="http://schemas.openxmlformats.org/officeDocument/2006/relationships/footer" Target="footer2.xm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example.com/system-design/contracts" TargetMode="Externa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8" Type="http://schemas.openxmlformats.org/officeDocument/2006/relationships/image" Target="media/image1.png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Relationship Id="rId5" Type="http://schemas.openxmlformats.org/officeDocument/2006/relationships/font" Target="fonts/HelveticaNeueLight-regular.ttf"/><Relationship Id="rId6" Type="http://schemas.openxmlformats.org/officeDocument/2006/relationships/font" Target="fonts/HelveticaNeueLight-bold.ttf"/><Relationship Id="rId7" Type="http://schemas.openxmlformats.org/officeDocument/2006/relationships/font" Target="fonts/HelveticaNeueLight-italic.ttf"/><Relationship Id="rId8" Type="http://schemas.openxmlformats.org/officeDocument/2006/relationships/font" Target="fonts/HelveticaNeueLigh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