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8">
      <w:pPr>
        <w:spacing w:after="0" w:before="0" w:line="20" w:lineRule="auto"/>
        <w:rPr>
          <w:rFonts w:ascii="Helvetica Neue" w:cs="Helvetica Neue" w:eastAsia="Helvetica Neue" w:hAnsi="Helvetica Neue"/>
          <w:color w:val="000000"/>
        </w:rPr>
      </w:pPr>
      <w:r>
        <w:rPr>
          <w:rtl w:val="0"/>
        </w:rPr>
      </w:r>
    </w:p>
    <w:p w14:paraId="00000009">
      <w:pPr>
        <w:pStyle w:val="Title"/>
        <w:spacing w:line="240" w:lineRule="auto"/>
        <w:rPr>
          <w:rFonts w:ascii="Helvetica Neue Light" w:cs="Helvetica Neue Light" w:eastAsia="Helvetica Neue Light" w:hAnsi="Helvetica Neue Light"/>
          <w:b w:val="0"/>
          <w:bCs w:val="0"/>
          <w:color w:val="5b7085"/>
          <w:sz w:val="72"/>
          <w:szCs w:val="72"/>
        </w:rPr>
      </w:pPr>
      <w:r>
        <w:rPr>
          <w:rFonts w:ascii="Helvetica Neue Light" w:cs="Helvetica Neue Light" w:eastAsia="Helvetica Neue Light" w:hAnsi="Helvetica Neue Light"/>
          <w:b w:val="0"/>
          <w:bCs w:val="0"/>
          <w:color w:val="5b7085"/>
          <w:sz w:val="72"/>
          <w:szCs w:val="72"/>
          <w:rtl w:val="0"/>
        </w:rPr>
        <w:t xml:space="preserve">WhereTourgo</w:t>
      </w:r>
    </w:p>
    <w:p w14:paraId="0000000A">
      <w:pPr>
        <w:pStyle w:val="Title"/>
        <w:spacing w:line="240" w:lineRule="auto"/>
        <w:rPr>
          <w:rFonts w:ascii="Helvetica Neue" w:cs="Helvetica Neue" w:eastAsia="Helvetica Neue" w:hAnsi="Helvetica Neue"/>
          <w:sz w:val="72"/>
          <w:szCs w:val="72"/>
        </w:rPr>
      </w:pPr>
      <w:r>
        <w:rPr>
          <w:rFonts w:ascii="Helvetica Neue" w:cs="Helvetica Neue" w:eastAsia="Helvetica Neue" w:hAnsi="Helvetica Neue"/>
          <w:sz w:val="72"/>
          <w:szCs w:val="72"/>
          <w:rtl w:val="0"/>
        </w:rPr>
        <w:t xml:space="preserve">Reglamento del programa</w:t>
      </w:r>
    </w:p>
    <w:p w14:paraId="0000000B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C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D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E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F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13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14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tbl>
      <w:tblPr>
        <w:tblStyle w:val="Table1"/>
        <w:tblW w:w="10400.0" w:type="dxa"/>
        <w:jc w:val="center"/>
        <w:tblLayout w:type="fixed"/>
        <w:tblLook w:val="0600"/>
      </w:tblPr>
      <w:tblGrid>
        <w:gridCol w:w="3200"/>
        <w:gridCol w:w="400"/>
        <w:gridCol w:w="3200"/>
        <w:gridCol w:w="400"/>
        <w:gridCol w:w="3200"/>
        <w:tblGridChange w:id="0">
          <w:tblGrid>
            <w:gridCol w:w="3200"/>
            <w:gridCol w:w="400"/>
            <w:gridCol w:w="3200"/>
            <w:gridCol w:w="400"/>
            <w:gridCol w:w="3200"/>
          </w:tblGrid>
        </w:tblGridChange>
      </w:tblGrid>
      <w:tr>
        <w:trPr>
          <w:cantSplit w:val="0"/>
          <w:tblHeader w:val="0"/>
        </w:trPr>
        <w:tc>
          <w:tcPr/>
          <w:p w14:paraId="00000015">
            <w:pPr>
              <w:pStyle w:val="Heading3"/>
              <w:rPr/>
            </w:pPr>
            <w:r>
              <w:rPr>
                <w:rtl w:val="0"/>
              </w:rPr>
              <w:t xml:space="preserve">ESTADO</w:t>
            </w:r>
          </w:p>
          <w:p w14:paraId="00000016">
            <w:pPr>
              <w:spacing w:after="110" w:line="300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Propuesta 0.1</w:t>
            </w:r>
          </w:p>
        </w:tc>
        <w:tc>
          <w:tcPr/>
          <w:p w14:paraId="00000017">
            <w:pPr>
              <w:rPr>
                <w:rFonts w:ascii="Helvetica Neue" w:cs="Helvetica Neue" w:eastAsia="Helvetica Neue" w:hAnsi="Helvetica Neue"/>
              </w:rPr>
            </w:pPr>
            <w:r>
              <w:rPr>
                <w:rtl w:val="0"/>
              </w:rPr>
            </w:r>
          </w:p>
        </w:tc>
        <w:tc>
          <w:tcPr/>
          <w:p w14:paraId="00000018">
            <w:pPr>
              <w:pStyle w:val="Heading3"/>
              <w:rPr/>
            </w:pPr>
            <w:r>
              <w:rPr>
                <w:rtl w:val="0"/>
              </w:rPr>
              <w:t xml:space="preserve">TITULAR</w:t>
            </w:r>
          </w:p>
          <w:p w14:paraId="00000019">
            <w:pPr>
              <w:spacing w:after="110" w:line="300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Allan Castro</w:t>
            </w:r>
          </w:p>
        </w:tc>
        <w:tc>
          <w:tcPr/>
          <w:p w14:paraId="0000001A">
            <w:pPr>
              <w:rPr>
                <w:rFonts w:ascii="Helvetica Neue" w:cs="Helvetica Neue" w:eastAsia="Helvetica Neue" w:hAnsi="Helvetica Neue"/>
              </w:rPr>
            </w:pPr>
            <w:r>
              <w:rPr>
                <w:rtl w:val="0"/>
              </w:rPr>
            </w:r>
          </w:p>
        </w:tc>
        <w:tc>
          <w:tcPr/>
          <w:p w14:paraId="0000001B">
            <w:pPr>
              <w:pStyle w:val="Heading3"/>
              <w:rPr/>
            </w:pPr>
            <w:r>
              <w:rPr>
                <w:rtl w:val="0"/>
              </w:rPr>
              <w:t xml:space="preserve">ACTUALIZACIÓN</w:t>
            </w:r>
          </w:p>
          <w:p w14:paraId="0000001C">
            <w:pPr>
              <w:spacing w:after="110" w:line="300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rtl w:val="0"/>
              </w:rPr>
              <w:t xml:space="preserve">22 septiembre 2026</w:t>
            </w:r>
          </w:p>
        </w:tc>
      </w:tr>
    </w:tbl>
    <w:p w14:paraId="0000001D">
      <w:pPr>
        <w:spacing w:after="110" w:line="300" w:lineRule="auto"/>
        <w:rPr>
          <w:rFonts w:ascii="Helvetica Neue" w:cs="Helvetica Neue" w:eastAsia="Helvetica Neue" w:hAnsi="Helvetica Neue"/>
        </w:rPr>
      </w:pPr>
      <w:r>
        <w:rPr>
          <w:rtl w:val="0"/>
        </w:rPr>
      </w:r>
    </w:p>
    <w:tbl>
      <w:tblPr>
        <w:tblStyle w:val="Table2"/>
        <w:tblW w:w="10155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1815"/>
        <w:gridCol w:w="8340"/>
        <w:tblGridChange w:id="0">
          <w:tblGrid>
            <w:gridCol w:w="1815"/>
            <w:gridCol w:w="8340"/>
          </w:tblGrid>
        </w:tblGridChange>
      </w:tblGrid>
      <w:tr>
        <w:trPr>
          <w:cantSplit w:val="1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1E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Programa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1F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Confianza WTG</w:t>
            </w:r>
          </w:p>
        </w:tc>
      </w:tr>
      <w:tr>
        <w:trPr>
          <w:cantSplit w:val="1"/>
          <w:trHeight w:val="404.3103027343749" w:hRule="atLeast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0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Revisión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1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Operativa y jurídica pendiente</w:t>
            </w:r>
          </w:p>
        </w:tc>
      </w:tr>
      <w:tr>
        <w:trPr>
          <w:cantSplit w:val="1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2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Documentos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3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C01 Reglamento · C02 Verificación · C03 Reconocimiento · C04 Uso</w:t>
            </w:r>
          </w:p>
        </w:tc>
      </w:tr>
      <w:tr>
        <w:trPr>
          <w:cantSplit w:val="1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4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Alcance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5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Gobierno y alcance del Programa de Confianza WTG.</w:t>
            </w:r>
          </w:p>
        </w:tc>
      </w:tr>
    </w:tbl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1 Propósito y vigencia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El Programa de Confianza WTG distingue a los operadores cuya información se ha revisado y, por separado, a las experiencias valoradas consistentemente por viajeros verificados. Este reglamento establece quién decide, qué evidencia conserva y cómo comunica sus decisiones.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Titular actual declarado: Allan Castro, persona física que opera bajo la marca WhereTourgo. Antes de formalizar el programa se completarán nombre legal íntegro, identificación y domicilio contractual. No se atribuye titularidad a ACG ni se presume una cesión a otra sociedad.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La versión propuesta 0.1 del 22 de septiembre de 2026 requiere aprobación expresa, revisión jurídica y publicación para entrar en vigor. Preparar estos documentos no concede sellos ni constituye aceptación de términos.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2 Distintivos y alcance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WTG Verified Partner acredita la revisión documental y operativa definida en C02, limitada al operador, sedes y actividades identificados en su ficha. No acredita excelencia por reseñas ni una inspección presencial que no haya ocurrido.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WTG Travelers’ Favorite reconoce una experiencia concreta por los resultados de un período evaluado conforme a C03. No premia a todos los tours del negocio ni representa un ranking nacional.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Ambos son reconocimientos privados de WTG. No sustituyen permisos, seguros, certificaciones del ICT ni obligaciones del prestador. Tampoco garantizan ausencia de riesgos o satisfacción de cada viajero.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3 Documentos y límites comerciales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C01 gobierna el programa; C02 define la verificación; C03 regula las reseñas y el reconocimiento; C04 establece el uso del sello y las apelaciones. La decisión de otorgamiento identifica las versiones aplicables.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Registrarse, recibir aprobación comercial o publicar un tour no activa un sello automáticamente. Estos documentos no cambian comisiones, liquidaciones, devoluciones ni contratos de reservas. El reconocimiento no se compra y la publicidad no altera los criterios.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4 Responsables y conflictos de interés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La dirección designa a una persona responsable y una suplente. Operaciones revisa evidencias y otra persona autorizada aprueba la decisión. Cada participante declara intereses personales o comerciales que puedan afectar su imparcialidad y se aparta cuando corresponda.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Si el equipo no dispone de una segunda persona imparcial, se solicita revisión externa o se aplaza el otorgamiento. La misma persona no resolverá la apelación contra su propia decisión.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5 Proceso y estados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El expediente pasa por recepción, revisión, correcciones, decisión fundamentada, aceptación de C04 y activación de la ficha pública. No hay aprobación por silencio.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Los estados son En revisión, En corrección, Vigente, Suspendido, Vencido y Retirado. Solo Vigente permite exhibición como reconocimiento actual. Los estados previos y sus motivos permanecen en el historial privado.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Cada decisión registra identificador, alcance, criterios, evidencia, versiones, revisor, aprobador, fecha, motivo y vencimiento. Las correcciones generan una nueva entrada vinculada; no borran el antecedente.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6 Registro público y datos privados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El sello tendrá un identificador y un enlace permanente bajo el dominio de WTG. La ficha mostrará nombre comercial, alcance, distintivo, edición si corresponde, estado, fechas y metodología. Un QR físico debe conducir a esa misma ficha.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No se publicarán documentos de identidad, pólizas completas, cuentas bancarias, datos de viajeros ni nombres de denunciantes. Si no puede comprobarse el estado, no se mostrará como vigente.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El acceso a expedientes se limita por funciones. Antes de recolectar datos, se informa quién es responsable, sus finalidades, los destinatarios y los canales de derechos. El calendario de conservación y eliminación deberá aprobarse antes del lanzamiento; no se autoriza conservación indefinida.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7 Seguimiento y cambios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Operaciones revisará vencimientos mensualmente y reabrirá la evaluación ante cambios de titular, actividad, sede o documentos esenciales. El aliado informará cambios materiales dentro de 5 días hábiles y riesgos graves sin demora, una vez atendida la emergencia.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Una denuncia no prueba incumplimiento. Las decisiones distinguen hechos, evidencia y opiniones. Ante riesgo serio y fundamentado puede existir suspensión preventiva, con revisión y derecho de respuesta según C04.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Los cambios materiales del programa se comunicarán con 30 días naturales de anticipación y nueva aceptación cuando corresponda. Las medidas urgentes de seguridad se motivarán. No se alteran criterios de una edición ya evaluada para favorecer a un aliado.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8 Condiciones antes de publicar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Completar identificación y domicilio de Allan Castro; verificar derechos de marca; aprobar C01 a C04; validar requisitos por actividad; designar revisores; habilitar registro público y canal de atención; probar suspensión, renovación y apelación; aprobar aviso de privacidad y conservación.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Los umbrales y plazos son propuestas internas que deben validarse. Travelers’ Favorite no se otorgará con datos de prueba ni sin muestra suficiente. Un sello no sustituye el proceso de atención a reservas, reembolsos o quejas.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9 Referencias y control de aprobación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Referencias de contexto consultadas el 22 de septiembre de 2026: Ley 7472, Ley 8968 y Declaratoria Turística del ICT. La declaratoria es voluntaria y distinta del programa WTG. Los requisitos concretos por actividad requieren validación jurídica; este documento no constituye un dictamen de cumplimiento.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Ley 7472: https://sinalevi.go.cr/ResultadosNormativa/Informacion?param1=26481&amp;param3=1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Ley 8968: https://sinalevi.go.cr/ResultadosNormativa/Informacion?param1=70975&amp;param3=1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ICT: https://www.ict.go.cr/es/servicios-institucionales/declaratoria-turistica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Aprobación pendiente: responsable ____________________; revisión jurídica ____________________; versión y fecha efectiva ____________________.</w:t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5840" w:w="12240" w:orient="portrait"/>
      <w:pgMar w:bottom="893" w:top="1008" w:left="1008" w:right="1008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6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b7085"/>
        <w:sz w:val="20"/>
        <w:szCs w:val="20"/>
        <w:u w:val="none"/>
        <w:shd w:fill="auto" w:val="clear"/>
        <w:vertAlign w:val="baseline"/>
      </w:rPr>
    </w:pPr>
    <w: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b7085"/>
        <w:sz w:val="16"/>
        <w:szCs w:val="16"/>
        <w:u w:val="none"/>
        <w:shd w:fill="auto" w:val="clear"/>
        <w:vertAlign w:val="baseline"/>
        <w:rtl w:val="0"/>
      </w:rPr>
      <w:t xml:space="preserve">WhereTourgo | WTG C01 | Propuesta 0.1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9">
    <w:pPr>
      <w:rPr/>
    </w:pPr>
    <w:r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14:paraId="000000F5">
      <w:pPr>
        <w:spacing w:after="0" w:line="270" w:lineRule="auto"/>
        <w:jc w:val="both"/>
        <w:rPr/>
      </w:pPr>
      <w:r>
        <w:rPr>
          <w:rStyle w:val="FootnoteReference"/>
          <w:vertAlign w:val="superscript"/>
        </w:rPr>
        <w:footnoteRef/>
      </w:r>
      <w:r>
        <w:rPr>
          <w:color w:val="233447"/>
          <w:rtl w:val="0"/>
        </w:rPr>
        <w:t xml:space="preserve"> Use footnotes for definitions, assumptions, or terms that need precision without interrupting the main narrative.</w:t>
      </w:r>
      <w:r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6">
    <w:pPr>
      <w:rPr/>
    </w:pPr>
    <w:r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8">
    <w:pPr>
      <w:rPr/>
    </w:pP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33447"/>
        <w:lang w:val="en"/>
      </w:rPr>
    </w:rPrDefault>
    <w:pPrDefault>
      <w:pPr>
        <w:spacing w:after="11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2f6b9a" w:space="2" w:sz="0" w:val="none"/>
        <w:left w:color="2f6b9a" w:space="2" w:sz="0" w:val="none"/>
        <w:bottom w:color="2f6b9a" w:space="2" w:sz="0" w:val="none"/>
        <w:right w:color="2f6b9a" w:space="2" w:sz="0" w:val="none"/>
      </w:pBdr>
      <w:spacing w:after="130" w:line="285" w:lineRule="auto"/>
    </w:pPr>
    <w:rPr>
      <w:b w:val="1"/>
      <w:bCs w:val="1"/>
      <w:color w:val="082a4a"/>
      <w:sz w:val="27"/>
      <w:szCs w:val="27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smallCaps w:val="1"/>
      <w:color w:val="082a4a"/>
      <w:sz w:val="19"/>
      <w:szCs w:val="19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Helvetica Neue" w:cs="Helvetica Neue" w:eastAsia="Helvetica Neue" w:hAnsi="Helvetica Neue"/>
      <w:b w:val="1"/>
      <w:bCs w:val="1"/>
      <w:color w:val="5b7085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082a4a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082a4a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082a4a"/>
    </w:rPr>
  </w:style>
  <w:style w:type="paragraph" w:styleId="Title">
    <w:name w:val="Title"/>
    <w:basedOn w:val="Normal"/>
    <w:next w:val="Normal"/>
    <w:pPr>
      <w:spacing w:after="150" w:lineRule="auto"/>
    </w:pPr>
    <w:rPr>
      <w:b w:val="1"/>
      <w:bCs w:val="1"/>
      <w:color w:val="082a4a"/>
      <w:sz w:val="44"/>
      <w:szCs w:val="44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082a4a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'1.0' encoding='UTF-8' standalone='yes'?>
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example.com/system-design/contracts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8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HelveticaNeueLight-regular.ttf"/><Relationship Id="rId6" Type="http://schemas.openxmlformats.org/officeDocument/2006/relationships/font" Target="fonts/HelveticaNeueLight-bold.ttf"/><Relationship Id="rId7" Type="http://schemas.openxmlformats.org/officeDocument/2006/relationships/font" Target="fonts/HelveticaNeueLight-italic.ttf"/><Relationship Id="rId8" Type="http://schemas.openxmlformats.org/officeDocument/2006/relationships/font" Target="fonts/HelveticaNeueL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